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609FA" w14:textId="2F16CE9A" w:rsidR="006A3966" w:rsidRPr="006A3966" w:rsidRDefault="006A3966" w:rsidP="00B226C4">
      <w:pPr>
        <w:rPr>
          <w:b/>
          <w:bCs/>
        </w:rPr>
      </w:pPr>
      <w:r w:rsidRPr="006A3966">
        <w:rPr>
          <w:b/>
          <w:bCs/>
        </w:rPr>
        <w:t>Website Accessibility Checklist</w:t>
      </w:r>
    </w:p>
    <w:p w14:paraId="7C18BAF6" w14:textId="2707CC51" w:rsidR="00DE61BF" w:rsidRDefault="00DE61BF" w:rsidP="00B226C4">
      <w:r>
        <w:t xml:space="preserve">This </w:t>
      </w:r>
      <w:r w:rsidR="00B226C4">
        <w:t xml:space="preserve">brief </w:t>
      </w:r>
      <w:r>
        <w:t>checklist is provided as a</w:t>
      </w:r>
      <w:r w:rsidR="00B226C4">
        <w:t>n</w:t>
      </w:r>
      <w:r>
        <w:t xml:space="preserve"> </w:t>
      </w:r>
      <w:r w:rsidR="00B226C4">
        <w:t xml:space="preserve">initial </w:t>
      </w:r>
      <w:r>
        <w:t xml:space="preserve">resource to help </w:t>
      </w:r>
      <w:r w:rsidR="00B226C4">
        <w:t>make websites accessible. However, it is recommended that a website should be a</w:t>
      </w:r>
      <w:bookmarkStart w:id="0" w:name="_GoBack"/>
      <w:bookmarkEnd w:id="0"/>
      <w:r w:rsidR="00B226C4">
        <w:t xml:space="preserve">ccessible to at least level AA of </w:t>
      </w:r>
      <w:r>
        <w:t>Web Content Accessibility Guidelines (WCAG) 2.1 (</w:t>
      </w:r>
      <w:r w:rsidR="00B226C4">
        <w:t xml:space="preserve">of </w:t>
      </w:r>
      <w:r>
        <w:t xml:space="preserve">W3C. </w:t>
      </w:r>
      <w:r w:rsidR="00DF441B">
        <w:t xml:space="preserve">A quick reference guide for WCAG2.1 is available at this link: </w:t>
      </w:r>
      <w:r w:rsidR="00DF441B" w:rsidRPr="00DF441B">
        <w:t>http://www.w3.org/WAI/WCAG21/quickref/</w:t>
      </w:r>
    </w:p>
    <w:p w14:paraId="0BD42B9F" w14:textId="77777777" w:rsidR="006311E7" w:rsidRDefault="006311E7" w:rsidP="006311E7">
      <w:pPr>
        <w:ind w:left="360"/>
      </w:pPr>
    </w:p>
    <w:tbl>
      <w:tblPr>
        <w:tblStyle w:val="TableGrid"/>
        <w:tblW w:w="0" w:type="auto"/>
        <w:tblInd w:w="360" w:type="dxa"/>
        <w:tblLayout w:type="fixed"/>
        <w:tblLook w:val="04A0" w:firstRow="1" w:lastRow="0" w:firstColumn="1" w:lastColumn="0" w:noHBand="0" w:noVBand="1"/>
      </w:tblPr>
      <w:tblGrid>
        <w:gridCol w:w="2347"/>
        <w:gridCol w:w="5760"/>
        <w:gridCol w:w="1728"/>
      </w:tblGrid>
      <w:tr w:rsidR="006311E7" w:rsidRPr="006311E7" w14:paraId="46512CBA" w14:textId="77777777" w:rsidTr="005055AC">
        <w:tc>
          <w:tcPr>
            <w:tcW w:w="2347" w:type="dxa"/>
          </w:tcPr>
          <w:p w14:paraId="08E068C9" w14:textId="2EEC2B4F" w:rsidR="006311E7" w:rsidRPr="006311E7" w:rsidRDefault="006311E7" w:rsidP="001133F7">
            <w:proofErr w:type="spellStart"/>
            <w:r>
              <w:t>S.No</w:t>
            </w:r>
            <w:proofErr w:type="spellEnd"/>
            <w:r>
              <w:t>.</w:t>
            </w:r>
          </w:p>
        </w:tc>
        <w:tc>
          <w:tcPr>
            <w:tcW w:w="5760" w:type="dxa"/>
          </w:tcPr>
          <w:p w14:paraId="242096FA" w14:textId="7A5AEB34" w:rsidR="006311E7" w:rsidRPr="006311E7" w:rsidRDefault="006311E7" w:rsidP="001133F7">
            <w:r>
              <w:t>Accessibility Indicator</w:t>
            </w:r>
          </w:p>
        </w:tc>
        <w:tc>
          <w:tcPr>
            <w:tcW w:w="1728" w:type="dxa"/>
          </w:tcPr>
          <w:p w14:paraId="114CB1E4" w14:textId="5D04E26C" w:rsidR="006311E7" w:rsidRPr="006311E7" w:rsidRDefault="006311E7" w:rsidP="001133F7">
            <w:r>
              <w:t>Compliance Status (Yes / No)</w:t>
            </w:r>
          </w:p>
        </w:tc>
      </w:tr>
      <w:tr w:rsidR="006311E7" w:rsidRPr="006311E7" w14:paraId="322369F0" w14:textId="249C5076" w:rsidTr="005055AC">
        <w:tc>
          <w:tcPr>
            <w:tcW w:w="2347" w:type="dxa"/>
          </w:tcPr>
          <w:p w14:paraId="3A28AAA2" w14:textId="77777777" w:rsidR="006311E7" w:rsidRPr="006311E7" w:rsidRDefault="006311E7" w:rsidP="005055AC">
            <w:pPr>
              <w:pStyle w:val="ListParagraph"/>
              <w:numPr>
                <w:ilvl w:val="0"/>
                <w:numId w:val="5"/>
              </w:numPr>
            </w:pPr>
          </w:p>
        </w:tc>
        <w:tc>
          <w:tcPr>
            <w:tcW w:w="5760" w:type="dxa"/>
          </w:tcPr>
          <w:p w14:paraId="45C5037B" w14:textId="4668B65B" w:rsidR="006311E7" w:rsidRPr="006311E7" w:rsidRDefault="006311E7" w:rsidP="001133F7">
            <w:r w:rsidRPr="006311E7">
              <w:t>Images, form image buttons, and image map hot spots have appropriate, equivalent alternative text.</w:t>
            </w:r>
          </w:p>
        </w:tc>
        <w:tc>
          <w:tcPr>
            <w:tcW w:w="1728" w:type="dxa"/>
          </w:tcPr>
          <w:p w14:paraId="1BC77CD6" w14:textId="77777777" w:rsidR="006311E7" w:rsidRPr="006311E7" w:rsidRDefault="006311E7" w:rsidP="001133F7"/>
        </w:tc>
      </w:tr>
      <w:tr w:rsidR="006311E7" w:rsidRPr="006311E7" w14:paraId="1455F9E4" w14:textId="4F0CD989" w:rsidTr="005055AC">
        <w:tc>
          <w:tcPr>
            <w:tcW w:w="2347" w:type="dxa"/>
          </w:tcPr>
          <w:p w14:paraId="7F6ED67F" w14:textId="77777777" w:rsidR="006311E7" w:rsidRPr="006311E7" w:rsidRDefault="006311E7" w:rsidP="005055AC">
            <w:pPr>
              <w:pStyle w:val="ListParagraph"/>
              <w:numPr>
                <w:ilvl w:val="0"/>
                <w:numId w:val="5"/>
              </w:numPr>
            </w:pPr>
          </w:p>
        </w:tc>
        <w:tc>
          <w:tcPr>
            <w:tcW w:w="5760" w:type="dxa"/>
          </w:tcPr>
          <w:p w14:paraId="13A3F761" w14:textId="4526E011" w:rsidR="006311E7" w:rsidRPr="006311E7" w:rsidRDefault="006311E7" w:rsidP="001133F7">
            <w:r w:rsidRPr="006311E7">
              <w:t xml:space="preserve">Images that do not convey content, are decorative, or contain content that is already conveyed in text are given null alt text or implemented as CSS backgrounds. </w:t>
            </w:r>
          </w:p>
        </w:tc>
        <w:tc>
          <w:tcPr>
            <w:tcW w:w="1728" w:type="dxa"/>
          </w:tcPr>
          <w:p w14:paraId="3B0234A9" w14:textId="77777777" w:rsidR="006311E7" w:rsidRPr="006311E7" w:rsidRDefault="006311E7" w:rsidP="001133F7"/>
        </w:tc>
      </w:tr>
      <w:tr w:rsidR="006311E7" w:rsidRPr="006311E7" w14:paraId="27B92563" w14:textId="5EAB13B4" w:rsidTr="005055AC">
        <w:tc>
          <w:tcPr>
            <w:tcW w:w="2347" w:type="dxa"/>
          </w:tcPr>
          <w:p w14:paraId="417DFA1C" w14:textId="77777777" w:rsidR="006311E7" w:rsidRPr="006311E7" w:rsidRDefault="006311E7" w:rsidP="005055AC">
            <w:pPr>
              <w:pStyle w:val="ListParagraph"/>
              <w:numPr>
                <w:ilvl w:val="0"/>
                <w:numId w:val="5"/>
              </w:numPr>
            </w:pPr>
          </w:p>
        </w:tc>
        <w:tc>
          <w:tcPr>
            <w:tcW w:w="5760" w:type="dxa"/>
          </w:tcPr>
          <w:p w14:paraId="41605567" w14:textId="5A27BCAC" w:rsidR="006311E7" w:rsidRPr="006311E7" w:rsidRDefault="006311E7" w:rsidP="001133F7">
            <w:r w:rsidRPr="006311E7">
              <w:t>All linked images have descriptive alternative text.</w:t>
            </w:r>
          </w:p>
        </w:tc>
        <w:tc>
          <w:tcPr>
            <w:tcW w:w="1728" w:type="dxa"/>
          </w:tcPr>
          <w:p w14:paraId="641FD833" w14:textId="77777777" w:rsidR="006311E7" w:rsidRPr="006311E7" w:rsidRDefault="006311E7" w:rsidP="001133F7"/>
        </w:tc>
      </w:tr>
      <w:tr w:rsidR="006311E7" w:rsidRPr="006311E7" w14:paraId="0BC691CE" w14:textId="34B60760" w:rsidTr="005055AC">
        <w:tc>
          <w:tcPr>
            <w:tcW w:w="2347" w:type="dxa"/>
          </w:tcPr>
          <w:p w14:paraId="6CB57CEC" w14:textId="77777777" w:rsidR="006311E7" w:rsidRPr="006311E7" w:rsidRDefault="006311E7" w:rsidP="005055AC">
            <w:pPr>
              <w:pStyle w:val="ListParagraph"/>
              <w:numPr>
                <w:ilvl w:val="0"/>
                <w:numId w:val="5"/>
              </w:numPr>
            </w:pPr>
          </w:p>
        </w:tc>
        <w:tc>
          <w:tcPr>
            <w:tcW w:w="5760" w:type="dxa"/>
          </w:tcPr>
          <w:p w14:paraId="04DC200F" w14:textId="18F0E608" w:rsidR="006311E7" w:rsidRPr="006311E7" w:rsidRDefault="006311E7" w:rsidP="001133F7">
            <w:r w:rsidRPr="006311E7">
              <w:t>Equivalent alternatives to complex images are provided in context or on a separate linked page.</w:t>
            </w:r>
          </w:p>
        </w:tc>
        <w:tc>
          <w:tcPr>
            <w:tcW w:w="1728" w:type="dxa"/>
          </w:tcPr>
          <w:p w14:paraId="4645C877" w14:textId="77777777" w:rsidR="006311E7" w:rsidRPr="006311E7" w:rsidRDefault="006311E7" w:rsidP="001133F7"/>
        </w:tc>
      </w:tr>
      <w:tr w:rsidR="006311E7" w:rsidRPr="006311E7" w14:paraId="78E9AD98" w14:textId="7E2847DB" w:rsidTr="005055AC">
        <w:tc>
          <w:tcPr>
            <w:tcW w:w="2347" w:type="dxa"/>
          </w:tcPr>
          <w:p w14:paraId="01B26F5C" w14:textId="77777777" w:rsidR="006311E7" w:rsidRPr="006311E7" w:rsidRDefault="006311E7" w:rsidP="005055AC">
            <w:pPr>
              <w:pStyle w:val="ListParagraph"/>
              <w:numPr>
                <w:ilvl w:val="0"/>
                <w:numId w:val="5"/>
              </w:numPr>
            </w:pPr>
          </w:p>
        </w:tc>
        <w:tc>
          <w:tcPr>
            <w:tcW w:w="5760" w:type="dxa"/>
          </w:tcPr>
          <w:p w14:paraId="5BD441B5" w14:textId="09865689" w:rsidR="006311E7" w:rsidRPr="006311E7" w:rsidRDefault="006311E7" w:rsidP="001133F7">
            <w:r w:rsidRPr="006311E7">
              <w:t>Form buttons have a descriptive value.</w:t>
            </w:r>
          </w:p>
        </w:tc>
        <w:tc>
          <w:tcPr>
            <w:tcW w:w="1728" w:type="dxa"/>
          </w:tcPr>
          <w:p w14:paraId="6A599976" w14:textId="77777777" w:rsidR="006311E7" w:rsidRPr="006311E7" w:rsidRDefault="006311E7" w:rsidP="001133F7"/>
        </w:tc>
      </w:tr>
      <w:tr w:rsidR="006311E7" w:rsidRPr="006311E7" w14:paraId="4B42FEBA" w14:textId="0A613C48" w:rsidTr="005055AC">
        <w:tc>
          <w:tcPr>
            <w:tcW w:w="2347" w:type="dxa"/>
          </w:tcPr>
          <w:p w14:paraId="432BA8C6" w14:textId="77777777" w:rsidR="006311E7" w:rsidRPr="006311E7" w:rsidRDefault="006311E7" w:rsidP="005055AC">
            <w:pPr>
              <w:pStyle w:val="ListParagraph"/>
              <w:numPr>
                <w:ilvl w:val="0"/>
                <w:numId w:val="5"/>
              </w:numPr>
            </w:pPr>
          </w:p>
        </w:tc>
        <w:tc>
          <w:tcPr>
            <w:tcW w:w="5760" w:type="dxa"/>
          </w:tcPr>
          <w:p w14:paraId="37B58F30" w14:textId="3566C8A1" w:rsidR="006311E7" w:rsidRPr="006311E7" w:rsidRDefault="006311E7" w:rsidP="001133F7">
            <w:r w:rsidRPr="006311E7">
              <w:t>Form inputs have associated text labels.</w:t>
            </w:r>
          </w:p>
        </w:tc>
        <w:tc>
          <w:tcPr>
            <w:tcW w:w="1728" w:type="dxa"/>
          </w:tcPr>
          <w:p w14:paraId="4F5245A9" w14:textId="77777777" w:rsidR="006311E7" w:rsidRPr="006311E7" w:rsidRDefault="006311E7" w:rsidP="001133F7"/>
        </w:tc>
      </w:tr>
      <w:tr w:rsidR="006311E7" w:rsidRPr="006311E7" w14:paraId="12C818F8" w14:textId="22474461" w:rsidTr="005055AC">
        <w:tc>
          <w:tcPr>
            <w:tcW w:w="2347" w:type="dxa"/>
          </w:tcPr>
          <w:p w14:paraId="19B50FB9" w14:textId="77777777" w:rsidR="006311E7" w:rsidRPr="006311E7" w:rsidRDefault="006311E7" w:rsidP="005055AC">
            <w:pPr>
              <w:pStyle w:val="ListParagraph"/>
              <w:numPr>
                <w:ilvl w:val="0"/>
                <w:numId w:val="5"/>
              </w:numPr>
            </w:pPr>
          </w:p>
        </w:tc>
        <w:tc>
          <w:tcPr>
            <w:tcW w:w="5760" w:type="dxa"/>
          </w:tcPr>
          <w:p w14:paraId="6432FAB0" w14:textId="7CF68E11" w:rsidR="006311E7" w:rsidRPr="006311E7" w:rsidRDefault="006311E7" w:rsidP="001133F7">
            <w:r w:rsidRPr="006311E7">
              <w:t>A transcript of relevant content is provided for non-live audio-only (audio podcasts, MP3 files, etc.).</w:t>
            </w:r>
          </w:p>
        </w:tc>
        <w:tc>
          <w:tcPr>
            <w:tcW w:w="1728" w:type="dxa"/>
          </w:tcPr>
          <w:p w14:paraId="23170ADE" w14:textId="77777777" w:rsidR="006311E7" w:rsidRPr="006311E7" w:rsidRDefault="006311E7" w:rsidP="001133F7"/>
        </w:tc>
      </w:tr>
      <w:tr w:rsidR="006311E7" w:rsidRPr="006311E7" w14:paraId="427983E0" w14:textId="4608A104" w:rsidTr="005055AC">
        <w:tc>
          <w:tcPr>
            <w:tcW w:w="2347" w:type="dxa"/>
          </w:tcPr>
          <w:p w14:paraId="0855E901" w14:textId="77777777" w:rsidR="006311E7" w:rsidRPr="006311E7" w:rsidRDefault="006311E7" w:rsidP="005055AC">
            <w:pPr>
              <w:pStyle w:val="ListParagraph"/>
              <w:numPr>
                <w:ilvl w:val="0"/>
                <w:numId w:val="5"/>
              </w:numPr>
            </w:pPr>
          </w:p>
        </w:tc>
        <w:tc>
          <w:tcPr>
            <w:tcW w:w="5760" w:type="dxa"/>
          </w:tcPr>
          <w:p w14:paraId="21728C35" w14:textId="5228F543" w:rsidR="006311E7" w:rsidRPr="006311E7" w:rsidRDefault="006311E7" w:rsidP="001133F7">
            <w:r w:rsidRPr="006311E7">
              <w:t xml:space="preserve">A transcript or audio description of relevant content is provided for non-live video-only, unless the video is decorative. </w:t>
            </w:r>
          </w:p>
        </w:tc>
        <w:tc>
          <w:tcPr>
            <w:tcW w:w="1728" w:type="dxa"/>
          </w:tcPr>
          <w:p w14:paraId="54160366" w14:textId="77777777" w:rsidR="006311E7" w:rsidRPr="006311E7" w:rsidRDefault="006311E7" w:rsidP="001133F7"/>
        </w:tc>
      </w:tr>
      <w:tr w:rsidR="006311E7" w:rsidRPr="006311E7" w14:paraId="05570E1C" w14:textId="6B8D3DF0" w:rsidTr="005055AC">
        <w:tc>
          <w:tcPr>
            <w:tcW w:w="2347" w:type="dxa"/>
          </w:tcPr>
          <w:p w14:paraId="26D18C6B" w14:textId="77777777" w:rsidR="006311E7" w:rsidRPr="006311E7" w:rsidRDefault="006311E7" w:rsidP="005055AC">
            <w:pPr>
              <w:pStyle w:val="ListParagraph"/>
              <w:numPr>
                <w:ilvl w:val="0"/>
                <w:numId w:val="5"/>
              </w:numPr>
            </w:pPr>
          </w:p>
        </w:tc>
        <w:tc>
          <w:tcPr>
            <w:tcW w:w="5760" w:type="dxa"/>
          </w:tcPr>
          <w:p w14:paraId="4AC5122C" w14:textId="62D880C9" w:rsidR="006311E7" w:rsidRPr="006311E7" w:rsidRDefault="006311E7" w:rsidP="001133F7">
            <w:r w:rsidRPr="006311E7">
              <w:t xml:space="preserve">Semantic markup is used appropriately to designate headings, regions/landmarks, lists, emphasized or special text, etc. </w:t>
            </w:r>
          </w:p>
        </w:tc>
        <w:tc>
          <w:tcPr>
            <w:tcW w:w="1728" w:type="dxa"/>
          </w:tcPr>
          <w:p w14:paraId="248E10E2" w14:textId="77777777" w:rsidR="006311E7" w:rsidRPr="006311E7" w:rsidRDefault="006311E7" w:rsidP="001133F7"/>
        </w:tc>
      </w:tr>
      <w:tr w:rsidR="006311E7" w:rsidRPr="006311E7" w14:paraId="5B94F9DD" w14:textId="792A68C4" w:rsidTr="005055AC">
        <w:tc>
          <w:tcPr>
            <w:tcW w:w="2347" w:type="dxa"/>
          </w:tcPr>
          <w:p w14:paraId="5C74D312" w14:textId="77777777" w:rsidR="006311E7" w:rsidRPr="006311E7" w:rsidRDefault="006311E7" w:rsidP="005055AC">
            <w:pPr>
              <w:pStyle w:val="ListParagraph"/>
              <w:numPr>
                <w:ilvl w:val="0"/>
                <w:numId w:val="5"/>
              </w:numPr>
            </w:pPr>
          </w:p>
        </w:tc>
        <w:tc>
          <w:tcPr>
            <w:tcW w:w="5760" w:type="dxa"/>
          </w:tcPr>
          <w:p w14:paraId="77C4FFC4" w14:textId="50049FD7" w:rsidR="006311E7" w:rsidRPr="006311E7" w:rsidRDefault="006311E7" w:rsidP="001133F7">
            <w:r w:rsidRPr="006311E7">
              <w:t>Tables are used for tabular data and data cells are associated with their headers. Data table captions, if present, are associated to data tables.</w:t>
            </w:r>
          </w:p>
        </w:tc>
        <w:tc>
          <w:tcPr>
            <w:tcW w:w="1728" w:type="dxa"/>
          </w:tcPr>
          <w:p w14:paraId="6B023005" w14:textId="77777777" w:rsidR="006311E7" w:rsidRPr="006311E7" w:rsidRDefault="006311E7" w:rsidP="001133F7"/>
        </w:tc>
      </w:tr>
      <w:tr w:rsidR="006311E7" w:rsidRPr="006311E7" w14:paraId="78D9F0DD" w14:textId="4DF923BB" w:rsidTr="005055AC">
        <w:tc>
          <w:tcPr>
            <w:tcW w:w="2347" w:type="dxa"/>
          </w:tcPr>
          <w:p w14:paraId="0474119E" w14:textId="77777777" w:rsidR="006311E7" w:rsidRPr="006311E7" w:rsidRDefault="006311E7" w:rsidP="005055AC">
            <w:pPr>
              <w:pStyle w:val="ListParagraph"/>
              <w:numPr>
                <w:ilvl w:val="0"/>
                <w:numId w:val="5"/>
              </w:numPr>
            </w:pPr>
          </w:p>
        </w:tc>
        <w:tc>
          <w:tcPr>
            <w:tcW w:w="5760" w:type="dxa"/>
          </w:tcPr>
          <w:p w14:paraId="7D427045" w14:textId="08D23CD3" w:rsidR="006311E7" w:rsidRPr="006311E7" w:rsidRDefault="006311E7" w:rsidP="001133F7">
            <w:r w:rsidRPr="006311E7">
              <w:t xml:space="preserve">Text labels are associated with form input elements. Related form elements are grouped with </w:t>
            </w:r>
            <w:proofErr w:type="spellStart"/>
            <w:r w:rsidRPr="006311E7">
              <w:t>fieldset</w:t>
            </w:r>
            <w:proofErr w:type="spellEnd"/>
            <w:r w:rsidRPr="006311E7">
              <w:t>/legend. ARIA labelling may be used when standard HTML is insufficient.</w:t>
            </w:r>
          </w:p>
        </w:tc>
        <w:tc>
          <w:tcPr>
            <w:tcW w:w="1728" w:type="dxa"/>
          </w:tcPr>
          <w:p w14:paraId="69DC96C5" w14:textId="77777777" w:rsidR="006311E7" w:rsidRPr="006311E7" w:rsidRDefault="006311E7" w:rsidP="001133F7"/>
        </w:tc>
      </w:tr>
      <w:tr w:rsidR="006311E7" w:rsidRPr="006311E7" w14:paraId="299F85D1" w14:textId="4E90FB9A" w:rsidTr="005055AC">
        <w:tc>
          <w:tcPr>
            <w:tcW w:w="2347" w:type="dxa"/>
          </w:tcPr>
          <w:p w14:paraId="3EEE7E0B" w14:textId="77777777" w:rsidR="006311E7" w:rsidRPr="006311E7" w:rsidRDefault="006311E7" w:rsidP="005055AC">
            <w:pPr>
              <w:pStyle w:val="ListParagraph"/>
              <w:numPr>
                <w:ilvl w:val="0"/>
                <w:numId w:val="5"/>
              </w:numPr>
            </w:pPr>
          </w:p>
        </w:tc>
        <w:tc>
          <w:tcPr>
            <w:tcW w:w="5760" w:type="dxa"/>
          </w:tcPr>
          <w:p w14:paraId="5BFA3A68" w14:textId="73D49F41" w:rsidR="006311E7" w:rsidRPr="006311E7" w:rsidRDefault="006311E7" w:rsidP="001133F7">
            <w:r w:rsidRPr="006311E7">
              <w:t>The reading and navigation order (determined by code order) is logical and intuitive.</w:t>
            </w:r>
          </w:p>
        </w:tc>
        <w:tc>
          <w:tcPr>
            <w:tcW w:w="1728" w:type="dxa"/>
          </w:tcPr>
          <w:p w14:paraId="2B111C56" w14:textId="77777777" w:rsidR="006311E7" w:rsidRPr="006311E7" w:rsidRDefault="006311E7" w:rsidP="001133F7"/>
        </w:tc>
      </w:tr>
      <w:tr w:rsidR="006311E7" w:rsidRPr="006311E7" w14:paraId="36CBDF97" w14:textId="4A78DD78" w:rsidTr="005055AC">
        <w:tc>
          <w:tcPr>
            <w:tcW w:w="2347" w:type="dxa"/>
          </w:tcPr>
          <w:p w14:paraId="14F96FC3" w14:textId="77777777" w:rsidR="006311E7" w:rsidRPr="006311E7" w:rsidRDefault="006311E7" w:rsidP="005055AC">
            <w:pPr>
              <w:pStyle w:val="ListParagraph"/>
              <w:numPr>
                <w:ilvl w:val="0"/>
                <w:numId w:val="5"/>
              </w:numPr>
            </w:pPr>
          </w:p>
        </w:tc>
        <w:tc>
          <w:tcPr>
            <w:tcW w:w="5760" w:type="dxa"/>
          </w:tcPr>
          <w:p w14:paraId="67DD7B30" w14:textId="5E664888" w:rsidR="006311E7" w:rsidRPr="006311E7" w:rsidRDefault="006311E7" w:rsidP="001133F7">
            <w:r w:rsidRPr="006311E7">
              <w:t>Instructions do not rely upon shape, size, or visual location (e.g., "Click the square icon to continue" or "Instructions are in the right-hand column").</w:t>
            </w:r>
          </w:p>
        </w:tc>
        <w:tc>
          <w:tcPr>
            <w:tcW w:w="1728" w:type="dxa"/>
          </w:tcPr>
          <w:p w14:paraId="19D51059" w14:textId="77777777" w:rsidR="006311E7" w:rsidRPr="006311E7" w:rsidRDefault="006311E7" w:rsidP="001133F7"/>
        </w:tc>
      </w:tr>
      <w:tr w:rsidR="006311E7" w:rsidRPr="006311E7" w14:paraId="2743372C" w14:textId="1DE0F250" w:rsidTr="005055AC">
        <w:tc>
          <w:tcPr>
            <w:tcW w:w="2347" w:type="dxa"/>
          </w:tcPr>
          <w:p w14:paraId="22D91015" w14:textId="77777777" w:rsidR="006311E7" w:rsidRPr="006311E7" w:rsidRDefault="006311E7" w:rsidP="005055AC">
            <w:pPr>
              <w:pStyle w:val="ListParagraph"/>
              <w:numPr>
                <w:ilvl w:val="0"/>
                <w:numId w:val="5"/>
              </w:numPr>
            </w:pPr>
          </w:p>
        </w:tc>
        <w:tc>
          <w:tcPr>
            <w:tcW w:w="5760" w:type="dxa"/>
          </w:tcPr>
          <w:p w14:paraId="464D870F" w14:textId="404143F6" w:rsidR="006311E7" w:rsidRPr="006311E7" w:rsidRDefault="006311E7" w:rsidP="001133F7">
            <w:r w:rsidRPr="006311E7">
              <w:t>Instructions do not rely upon sound (e.g., "A beeping sound indicates you may continue.").</w:t>
            </w:r>
          </w:p>
        </w:tc>
        <w:tc>
          <w:tcPr>
            <w:tcW w:w="1728" w:type="dxa"/>
          </w:tcPr>
          <w:p w14:paraId="59BCA195" w14:textId="77777777" w:rsidR="006311E7" w:rsidRPr="006311E7" w:rsidRDefault="006311E7" w:rsidP="001133F7"/>
        </w:tc>
      </w:tr>
      <w:tr w:rsidR="006311E7" w:rsidRPr="006311E7" w14:paraId="4DDCE96C" w14:textId="348FA5A6" w:rsidTr="005055AC">
        <w:tc>
          <w:tcPr>
            <w:tcW w:w="2347" w:type="dxa"/>
          </w:tcPr>
          <w:p w14:paraId="59292CC1" w14:textId="77777777" w:rsidR="006311E7" w:rsidRPr="006311E7" w:rsidRDefault="006311E7" w:rsidP="005055AC">
            <w:pPr>
              <w:pStyle w:val="ListParagraph"/>
              <w:numPr>
                <w:ilvl w:val="0"/>
                <w:numId w:val="5"/>
              </w:numPr>
            </w:pPr>
          </w:p>
        </w:tc>
        <w:tc>
          <w:tcPr>
            <w:tcW w:w="5760" w:type="dxa"/>
          </w:tcPr>
          <w:p w14:paraId="58A85BF7" w14:textId="7C4AB5B0" w:rsidR="006311E7" w:rsidRPr="006311E7" w:rsidRDefault="006311E7" w:rsidP="001133F7">
            <w:r w:rsidRPr="006311E7">
              <w:t>Color is not used as the sole method of conveying content or distinguishing visual elements.</w:t>
            </w:r>
          </w:p>
        </w:tc>
        <w:tc>
          <w:tcPr>
            <w:tcW w:w="1728" w:type="dxa"/>
          </w:tcPr>
          <w:p w14:paraId="05D2A6F4" w14:textId="77777777" w:rsidR="006311E7" w:rsidRPr="006311E7" w:rsidRDefault="006311E7" w:rsidP="001133F7"/>
        </w:tc>
      </w:tr>
      <w:tr w:rsidR="006311E7" w:rsidRPr="006311E7" w14:paraId="5652B619" w14:textId="7D5B835A" w:rsidTr="005055AC">
        <w:tc>
          <w:tcPr>
            <w:tcW w:w="2347" w:type="dxa"/>
          </w:tcPr>
          <w:p w14:paraId="671B02EE" w14:textId="77777777" w:rsidR="006311E7" w:rsidRPr="006311E7" w:rsidRDefault="006311E7" w:rsidP="005055AC">
            <w:pPr>
              <w:pStyle w:val="ListParagraph"/>
              <w:numPr>
                <w:ilvl w:val="0"/>
                <w:numId w:val="5"/>
              </w:numPr>
            </w:pPr>
          </w:p>
        </w:tc>
        <w:tc>
          <w:tcPr>
            <w:tcW w:w="5760" w:type="dxa"/>
          </w:tcPr>
          <w:p w14:paraId="2EF3B425" w14:textId="1BA6BFDB" w:rsidR="006311E7" w:rsidRPr="006311E7" w:rsidRDefault="006311E7" w:rsidP="001133F7">
            <w:r w:rsidRPr="006311E7">
              <w:t xml:space="preserve">Color alone is not used to distinguish links from surrounding text unless the contrast ratio between the link and the surrounding text is at least 3:1 and an additional distinction </w:t>
            </w:r>
            <w:r w:rsidRPr="006311E7">
              <w:lastRenderedPageBreak/>
              <w:t>(e.g., it becomes underlined) is provided when the link is hovered over and receives focus.</w:t>
            </w:r>
          </w:p>
        </w:tc>
        <w:tc>
          <w:tcPr>
            <w:tcW w:w="1728" w:type="dxa"/>
          </w:tcPr>
          <w:p w14:paraId="3ACB140C" w14:textId="77777777" w:rsidR="006311E7" w:rsidRPr="006311E7" w:rsidRDefault="006311E7" w:rsidP="001133F7"/>
        </w:tc>
      </w:tr>
      <w:tr w:rsidR="006311E7" w:rsidRPr="006311E7" w14:paraId="09BCDA66" w14:textId="1BCCF00C" w:rsidTr="005055AC">
        <w:tc>
          <w:tcPr>
            <w:tcW w:w="2347" w:type="dxa"/>
          </w:tcPr>
          <w:p w14:paraId="17B8DFB1" w14:textId="77777777" w:rsidR="006311E7" w:rsidRPr="006311E7" w:rsidRDefault="006311E7" w:rsidP="005055AC">
            <w:pPr>
              <w:pStyle w:val="ListParagraph"/>
              <w:numPr>
                <w:ilvl w:val="0"/>
                <w:numId w:val="5"/>
              </w:numPr>
            </w:pPr>
          </w:p>
        </w:tc>
        <w:tc>
          <w:tcPr>
            <w:tcW w:w="5760" w:type="dxa"/>
          </w:tcPr>
          <w:p w14:paraId="3E20C1F0" w14:textId="124C6484" w:rsidR="006311E7" w:rsidRPr="006311E7" w:rsidRDefault="006311E7" w:rsidP="001133F7">
            <w:r w:rsidRPr="006311E7">
              <w:t>A mechanism is provided to stop, pause, mute, or adjust volume for audio that automatically plays on a page for more than 3 seconds.</w:t>
            </w:r>
          </w:p>
        </w:tc>
        <w:tc>
          <w:tcPr>
            <w:tcW w:w="1728" w:type="dxa"/>
          </w:tcPr>
          <w:p w14:paraId="2021AE1D" w14:textId="77777777" w:rsidR="006311E7" w:rsidRPr="006311E7" w:rsidRDefault="006311E7" w:rsidP="001133F7"/>
        </w:tc>
      </w:tr>
      <w:tr w:rsidR="006311E7" w:rsidRPr="006311E7" w14:paraId="550F3C04" w14:textId="47215963" w:rsidTr="005055AC">
        <w:tc>
          <w:tcPr>
            <w:tcW w:w="2347" w:type="dxa"/>
          </w:tcPr>
          <w:p w14:paraId="49D56284" w14:textId="77777777" w:rsidR="006311E7" w:rsidRPr="006311E7" w:rsidRDefault="006311E7" w:rsidP="005055AC">
            <w:pPr>
              <w:pStyle w:val="ListParagraph"/>
              <w:numPr>
                <w:ilvl w:val="0"/>
                <w:numId w:val="5"/>
              </w:numPr>
            </w:pPr>
          </w:p>
        </w:tc>
        <w:tc>
          <w:tcPr>
            <w:tcW w:w="5760" w:type="dxa"/>
          </w:tcPr>
          <w:p w14:paraId="2D13361A" w14:textId="2A6A4492" w:rsidR="006311E7" w:rsidRPr="006311E7" w:rsidRDefault="006311E7" w:rsidP="001133F7">
            <w:r w:rsidRPr="006311E7">
              <w:t>If the same visual presentation can be made using text alone, an image is not used to present that text.</w:t>
            </w:r>
          </w:p>
        </w:tc>
        <w:tc>
          <w:tcPr>
            <w:tcW w:w="1728" w:type="dxa"/>
          </w:tcPr>
          <w:p w14:paraId="656F1669" w14:textId="77777777" w:rsidR="006311E7" w:rsidRPr="006311E7" w:rsidRDefault="006311E7" w:rsidP="001133F7"/>
        </w:tc>
      </w:tr>
      <w:tr w:rsidR="006311E7" w:rsidRPr="006311E7" w14:paraId="3B1B08BD" w14:textId="71BBA61D" w:rsidTr="005055AC">
        <w:tc>
          <w:tcPr>
            <w:tcW w:w="2347" w:type="dxa"/>
          </w:tcPr>
          <w:p w14:paraId="6CC17892" w14:textId="77777777" w:rsidR="006311E7" w:rsidRPr="006311E7" w:rsidRDefault="006311E7" w:rsidP="005055AC">
            <w:pPr>
              <w:pStyle w:val="ListParagraph"/>
              <w:numPr>
                <w:ilvl w:val="0"/>
                <w:numId w:val="5"/>
              </w:numPr>
            </w:pPr>
          </w:p>
        </w:tc>
        <w:tc>
          <w:tcPr>
            <w:tcW w:w="5760" w:type="dxa"/>
          </w:tcPr>
          <w:p w14:paraId="447E449D" w14:textId="1A3134C0" w:rsidR="006311E7" w:rsidRPr="006311E7" w:rsidRDefault="006311E7" w:rsidP="001133F7">
            <w:r w:rsidRPr="006311E7">
              <w:t>A contrast ratio of at least 3:1 is present for differentiating graphical objects (such as icons and components of charts or graphs) and author-customized interface components (such as buttons, form controls, and focus indicators/outlines).</w:t>
            </w:r>
          </w:p>
        </w:tc>
        <w:tc>
          <w:tcPr>
            <w:tcW w:w="1728" w:type="dxa"/>
          </w:tcPr>
          <w:p w14:paraId="46E09CEC" w14:textId="77777777" w:rsidR="006311E7" w:rsidRPr="006311E7" w:rsidRDefault="006311E7" w:rsidP="001133F7"/>
        </w:tc>
      </w:tr>
      <w:tr w:rsidR="006311E7" w:rsidRPr="006311E7" w14:paraId="67124E76" w14:textId="31F0E346" w:rsidTr="005055AC">
        <w:tc>
          <w:tcPr>
            <w:tcW w:w="2347" w:type="dxa"/>
          </w:tcPr>
          <w:p w14:paraId="66258B94" w14:textId="77777777" w:rsidR="006311E7" w:rsidRPr="006311E7" w:rsidRDefault="006311E7" w:rsidP="005055AC">
            <w:pPr>
              <w:pStyle w:val="ListParagraph"/>
              <w:numPr>
                <w:ilvl w:val="0"/>
                <w:numId w:val="5"/>
              </w:numPr>
            </w:pPr>
          </w:p>
        </w:tc>
        <w:tc>
          <w:tcPr>
            <w:tcW w:w="5760" w:type="dxa"/>
          </w:tcPr>
          <w:p w14:paraId="172AFC00" w14:textId="553B7C8A" w:rsidR="006311E7" w:rsidRPr="006311E7" w:rsidRDefault="006311E7" w:rsidP="001133F7">
            <w:r w:rsidRPr="006311E7">
              <w:t>At least 3:1 contrast must be provided in the various states (focus, hover, active, etc.) of author-customized interactive components.</w:t>
            </w:r>
          </w:p>
        </w:tc>
        <w:tc>
          <w:tcPr>
            <w:tcW w:w="1728" w:type="dxa"/>
          </w:tcPr>
          <w:p w14:paraId="014BD098" w14:textId="77777777" w:rsidR="006311E7" w:rsidRPr="006311E7" w:rsidRDefault="006311E7" w:rsidP="001133F7"/>
        </w:tc>
      </w:tr>
      <w:tr w:rsidR="006311E7" w:rsidRPr="006311E7" w14:paraId="210E2FCC" w14:textId="548E1ABA" w:rsidTr="005055AC">
        <w:tc>
          <w:tcPr>
            <w:tcW w:w="2347" w:type="dxa"/>
          </w:tcPr>
          <w:p w14:paraId="4C8D3C9F" w14:textId="77777777" w:rsidR="006311E7" w:rsidRPr="006311E7" w:rsidRDefault="006311E7" w:rsidP="005055AC">
            <w:pPr>
              <w:pStyle w:val="ListParagraph"/>
              <w:numPr>
                <w:ilvl w:val="0"/>
                <w:numId w:val="5"/>
              </w:numPr>
            </w:pPr>
          </w:p>
        </w:tc>
        <w:tc>
          <w:tcPr>
            <w:tcW w:w="5760" w:type="dxa"/>
          </w:tcPr>
          <w:p w14:paraId="4458E321" w14:textId="4968979D" w:rsidR="006311E7" w:rsidRPr="006311E7" w:rsidRDefault="006311E7" w:rsidP="001133F7">
            <w:r w:rsidRPr="006311E7">
              <w:t>All page functionality is available using the keyboard, unless the functionality cannot be accomplished in any known way using a keyboard (e.g., free hand drawing).</w:t>
            </w:r>
          </w:p>
        </w:tc>
        <w:tc>
          <w:tcPr>
            <w:tcW w:w="1728" w:type="dxa"/>
          </w:tcPr>
          <w:p w14:paraId="6AA444A9" w14:textId="77777777" w:rsidR="006311E7" w:rsidRPr="006311E7" w:rsidRDefault="006311E7" w:rsidP="001133F7"/>
        </w:tc>
      </w:tr>
      <w:tr w:rsidR="006311E7" w:rsidRPr="006311E7" w14:paraId="67AC7919" w14:textId="3AEAECB3" w:rsidTr="005055AC">
        <w:tc>
          <w:tcPr>
            <w:tcW w:w="2347" w:type="dxa"/>
          </w:tcPr>
          <w:p w14:paraId="10CD12A9" w14:textId="77777777" w:rsidR="006311E7" w:rsidRPr="006311E7" w:rsidRDefault="006311E7" w:rsidP="005055AC">
            <w:pPr>
              <w:pStyle w:val="ListParagraph"/>
              <w:numPr>
                <w:ilvl w:val="0"/>
                <w:numId w:val="5"/>
              </w:numPr>
            </w:pPr>
          </w:p>
        </w:tc>
        <w:tc>
          <w:tcPr>
            <w:tcW w:w="5760" w:type="dxa"/>
          </w:tcPr>
          <w:p w14:paraId="384C7189" w14:textId="615B90C0" w:rsidR="006311E7" w:rsidRPr="006311E7" w:rsidRDefault="006311E7" w:rsidP="001133F7">
            <w:r w:rsidRPr="006311E7">
              <w:t xml:space="preserve">Page-specified shortcut keys and </w:t>
            </w:r>
            <w:proofErr w:type="spellStart"/>
            <w:r w:rsidRPr="006311E7">
              <w:t>accesskeys</w:t>
            </w:r>
            <w:proofErr w:type="spellEnd"/>
            <w:r w:rsidRPr="006311E7">
              <w:t xml:space="preserve"> (</w:t>
            </w:r>
            <w:proofErr w:type="spellStart"/>
            <w:r w:rsidRPr="006311E7">
              <w:t>accesskey</w:t>
            </w:r>
            <w:proofErr w:type="spellEnd"/>
            <w:r w:rsidRPr="006311E7">
              <w:t xml:space="preserve"> should typically be avoided) do not conflict with existing browser and screen reader shortcuts.</w:t>
            </w:r>
          </w:p>
        </w:tc>
        <w:tc>
          <w:tcPr>
            <w:tcW w:w="1728" w:type="dxa"/>
          </w:tcPr>
          <w:p w14:paraId="618758AE" w14:textId="77777777" w:rsidR="006311E7" w:rsidRPr="006311E7" w:rsidRDefault="006311E7" w:rsidP="001133F7"/>
        </w:tc>
      </w:tr>
      <w:tr w:rsidR="006311E7" w:rsidRPr="006311E7" w14:paraId="6AC67A0C" w14:textId="2061FA42" w:rsidTr="005055AC">
        <w:tc>
          <w:tcPr>
            <w:tcW w:w="2347" w:type="dxa"/>
          </w:tcPr>
          <w:p w14:paraId="2101BA44" w14:textId="77777777" w:rsidR="006311E7" w:rsidRPr="006311E7" w:rsidRDefault="006311E7" w:rsidP="005055AC">
            <w:pPr>
              <w:pStyle w:val="ListParagraph"/>
              <w:numPr>
                <w:ilvl w:val="0"/>
                <w:numId w:val="5"/>
              </w:numPr>
            </w:pPr>
          </w:p>
        </w:tc>
        <w:tc>
          <w:tcPr>
            <w:tcW w:w="5760" w:type="dxa"/>
          </w:tcPr>
          <w:p w14:paraId="5EAE963D" w14:textId="26518901" w:rsidR="006311E7" w:rsidRPr="006311E7" w:rsidRDefault="006311E7" w:rsidP="001133F7">
            <w:r w:rsidRPr="006311E7">
              <w:t>Keyboard focus is never locked or trapped at one particular page element. The user can navigate to and from all navigable page elements using only a keyboard.</w:t>
            </w:r>
          </w:p>
        </w:tc>
        <w:tc>
          <w:tcPr>
            <w:tcW w:w="1728" w:type="dxa"/>
          </w:tcPr>
          <w:p w14:paraId="69CA70CB" w14:textId="77777777" w:rsidR="006311E7" w:rsidRPr="006311E7" w:rsidRDefault="006311E7" w:rsidP="001133F7"/>
        </w:tc>
      </w:tr>
      <w:tr w:rsidR="006311E7" w:rsidRPr="006311E7" w14:paraId="061127B8" w14:textId="16560C24" w:rsidTr="005055AC">
        <w:tc>
          <w:tcPr>
            <w:tcW w:w="2347" w:type="dxa"/>
          </w:tcPr>
          <w:p w14:paraId="507362AA" w14:textId="77777777" w:rsidR="006311E7" w:rsidRPr="006311E7" w:rsidRDefault="006311E7" w:rsidP="005055AC">
            <w:pPr>
              <w:pStyle w:val="ListParagraph"/>
              <w:numPr>
                <w:ilvl w:val="0"/>
                <w:numId w:val="5"/>
              </w:numPr>
            </w:pPr>
          </w:p>
        </w:tc>
        <w:tc>
          <w:tcPr>
            <w:tcW w:w="5760" w:type="dxa"/>
          </w:tcPr>
          <w:p w14:paraId="5B452108" w14:textId="5A538071" w:rsidR="006311E7" w:rsidRPr="006311E7" w:rsidRDefault="006311E7" w:rsidP="001133F7">
            <w:r w:rsidRPr="006311E7">
              <w:t>If a keyboard shortcut uses printable character keys, then the user must be able to disable the key command, change the defined key to a non-printable key (Ctrl, Alt, etc.), or only activate the shortcut when an associated interface component or button is focused.</w:t>
            </w:r>
          </w:p>
        </w:tc>
        <w:tc>
          <w:tcPr>
            <w:tcW w:w="1728" w:type="dxa"/>
          </w:tcPr>
          <w:p w14:paraId="7E1C863C" w14:textId="77777777" w:rsidR="006311E7" w:rsidRPr="006311E7" w:rsidRDefault="006311E7" w:rsidP="001133F7"/>
        </w:tc>
      </w:tr>
      <w:tr w:rsidR="006311E7" w:rsidRPr="006311E7" w14:paraId="7BEDAB1A" w14:textId="27569EBD" w:rsidTr="005055AC">
        <w:tc>
          <w:tcPr>
            <w:tcW w:w="2347" w:type="dxa"/>
          </w:tcPr>
          <w:p w14:paraId="21E36648" w14:textId="77777777" w:rsidR="006311E7" w:rsidRPr="006311E7" w:rsidRDefault="006311E7" w:rsidP="005055AC">
            <w:pPr>
              <w:pStyle w:val="ListParagraph"/>
              <w:numPr>
                <w:ilvl w:val="0"/>
                <w:numId w:val="5"/>
              </w:numPr>
            </w:pPr>
          </w:p>
        </w:tc>
        <w:tc>
          <w:tcPr>
            <w:tcW w:w="5760" w:type="dxa"/>
          </w:tcPr>
          <w:p w14:paraId="5B2D8254" w14:textId="759CF802" w:rsidR="006311E7" w:rsidRPr="006311E7" w:rsidRDefault="006311E7" w:rsidP="001133F7">
            <w:r w:rsidRPr="006311E7">
              <w:t>If a page or application has a time limit, the user is given options to turn off, adjust, or extend that time limit. This is not a requirement for real-time events (e.g., an auction), where the time limit is absolutely required, or if the time limit is longer than 20 hours.</w:t>
            </w:r>
          </w:p>
        </w:tc>
        <w:tc>
          <w:tcPr>
            <w:tcW w:w="1728" w:type="dxa"/>
          </w:tcPr>
          <w:p w14:paraId="411484B6" w14:textId="77777777" w:rsidR="006311E7" w:rsidRPr="006311E7" w:rsidRDefault="006311E7" w:rsidP="001133F7"/>
        </w:tc>
      </w:tr>
      <w:tr w:rsidR="006311E7" w:rsidRPr="006311E7" w14:paraId="49D9A03B" w14:textId="4B3421F8" w:rsidTr="005055AC">
        <w:tc>
          <w:tcPr>
            <w:tcW w:w="2347" w:type="dxa"/>
          </w:tcPr>
          <w:p w14:paraId="076AD3A6" w14:textId="77777777" w:rsidR="006311E7" w:rsidRPr="006311E7" w:rsidRDefault="006311E7" w:rsidP="005055AC">
            <w:pPr>
              <w:pStyle w:val="ListParagraph"/>
              <w:numPr>
                <w:ilvl w:val="0"/>
                <w:numId w:val="5"/>
              </w:numPr>
            </w:pPr>
          </w:p>
        </w:tc>
        <w:tc>
          <w:tcPr>
            <w:tcW w:w="5760" w:type="dxa"/>
          </w:tcPr>
          <w:p w14:paraId="67C9F56F" w14:textId="2BD78DE2" w:rsidR="006311E7" w:rsidRPr="006311E7" w:rsidRDefault="006311E7" w:rsidP="001133F7">
            <w:r w:rsidRPr="006311E7">
              <w:t>Automatically moving, blinking, or scrolling content (such as carousels, marquees, or animations) that lasts longer than 5 seconds can be paused, stopped, or hidden by the user.</w:t>
            </w:r>
          </w:p>
        </w:tc>
        <w:tc>
          <w:tcPr>
            <w:tcW w:w="1728" w:type="dxa"/>
          </w:tcPr>
          <w:p w14:paraId="2A07F77E" w14:textId="77777777" w:rsidR="006311E7" w:rsidRPr="006311E7" w:rsidRDefault="006311E7" w:rsidP="001133F7"/>
        </w:tc>
      </w:tr>
      <w:tr w:rsidR="006311E7" w:rsidRPr="006311E7" w14:paraId="300F69AF" w14:textId="0EAE72CB" w:rsidTr="005055AC">
        <w:tc>
          <w:tcPr>
            <w:tcW w:w="2347" w:type="dxa"/>
          </w:tcPr>
          <w:p w14:paraId="27F0EBD9" w14:textId="77777777" w:rsidR="006311E7" w:rsidRPr="006311E7" w:rsidRDefault="006311E7" w:rsidP="005055AC">
            <w:pPr>
              <w:pStyle w:val="ListParagraph"/>
              <w:numPr>
                <w:ilvl w:val="0"/>
                <w:numId w:val="5"/>
              </w:numPr>
            </w:pPr>
          </w:p>
        </w:tc>
        <w:tc>
          <w:tcPr>
            <w:tcW w:w="5760" w:type="dxa"/>
          </w:tcPr>
          <w:p w14:paraId="3CE4C968" w14:textId="284631CA" w:rsidR="006311E7" w:rsidRPr="006311E7" w:rsidRDefault="006311E7" w:rsidP="001133F7">
            <w:r w:rsidRPr="006311E7">
              <w:t>Automatically updating content (e.g., a dynamically-updating news ticker, chat messages, etc.) can be paused, stopped, or hidden by the user or the user can manually control the timing of the updates.</w:t>
            </w:r>
          </w:p>
        </w:tc>
        <w:tc>
          <w:tcPr>
            <w:tcW w:w="1728" w:type="dxa"/>
          </w:tcPr>
          <w:p w14:paraId="55769D4D" w14:textId="77777777" w:rsidR="006311E7" w:rsidRPr="006311E7" w:rsidRDefault="006311E7" w:rsidP="001133F7"/>
        </w:tc>
      </w:tr>
      <w:tr w:rsidR="006311E7" w:rsidRPr="006311E7" w14:paraId="34891CAE" w14:textId="427D7EB8" w:rsidTr="005055AC">
        <w:tc>
          <w:tcPr>
            <w:tcW w:w="2347" w:type="dxa"/>
          </w:tcPr>
          <w:p w14:paraId="448B092D" w14:textId="77777777" w:rsidR="006311E7" w:rsidRPr="006311E7" w:rsidRDefault="006311E7" w:rsidP="005055AC">
            <w:pPr>
              <w:pStyle w:val="ListParagraph"/>
              <w:numPr>
                <w:ilvl w:val="0"/>
                <w:numId w:val="5"/>
              </w:numPr>
            </w:pPr>
          </w:p>
        </w:tc>
        <w:tc>
          <w:tcPr>
            <w:tcW w:w="5760" w:type="dxa"/>
          </w:tcPr>
          <w:p w14:paraId="5A561C50" w14:textId="6094B906" w:rsidR="006311E7" w:rsidRPr="006311E7" w:rsidRDefault="006311E7" w:rsidP="001133F7">
            <w:r w:rsidRPr="006311E7">
              <w:t xml:space="preserve">No page content flashes more than 3 times per second unless that flashing content is sufficiently small and the flashes are of low contrast and do not contain too much red. </w:t>
            </w:r>
          </w:p>
        </w:tc>
        <w:tc>
          <w:tcPr>
            <w:tcW w:w="1728" w:type="dxa"/>
          </w:tcPr>
          <w:p w14:paraId="63733A53" w14:textId="77777777" w:rsidR="006311E7" w:rsidRPr="006311E7" w:rsidRDefault="006311E7" w:rsidP="001133F7"/>
        </w:tc>
      </w:tr>
      <w:tr w:rsidR="006311E7" w:rsidRPr="006311E7" w14:paraId="1883A9A3" w14:textId="5691680E" w:rsidTr="005055AC">
        <w:tc>
          <w:tcPr>
            <w:tcW w:w="2347" w:type="dxa"/>
          </w:tcPr>
          <w:p w14:paraId="058BE364" w14:textId="77777777" w:rsidR="006311E7" w:rsidRPr="006311E7" w:rsidRDefault="006311E7" w:rsidP="005055AC">
            <w:pPr>
              <w:pStyle w:val="ListParagraph"/>
              <w:numPr>
                <w:ilvl w:val="0"/>
                <w:numId w:val="5"/>
              </w:numPr>
            </w:pPr>
          </w:p>
        </w:tc>
        <w:tc>
          <w:tcPr>
            <w:tcW w:w="5760" w:type="dxa"/>
          </w:tcPr>
          <w:p w14:paraId="0B1DFD1B" w14:textId="24EBCFB4" w:rsidR="006311E7" w:rsidRPr="006311E7" w:rsidRDefault="006311E7" w:rsidP="001133F7">
            <w:r w:rsidRPr="006311E7">
              <w:t>A link is provided to skip navigation and other page elements that are repeated across web pages.</w:t>
            </w:r>
          </w:p>
        </w:tc>
        <w:tc>
          <w:tcPr>
            <w:tcW w:w="1728" w:type="dxa"/>
          </w:tcPr>
          <w:p w14:paraId="2351BC20" w14:textId="77777777" w:rsidR="006311E7" w:rsidRPr="006311E7" w:rsidRDefault="006311E7" w:rsidP="001133F7"/>
        </w:tc>
      </w:tr>
      <w:tr w:rsidR="006311E7" w:rsidRPr="006311E7" w14:paraId="04DC053A" w14:textId="11AAE5B4" w:rsidTr="005055AC">
        <w:tc>
          <w:tcPr>
            <w:tcW w:w="2347" w:type="dxa"/>
          </w:tcPr>
          <w:p w14:paraId="107DA90B" w14:textId="77777777" w:rsidR="006311E7" w:rsidRPr="006311E7" w:rsidRDefault="006311E7" w:rsidP="005055AC">
            <w:pPr>
              <w:pStyle w:val="ListParagraph"/>
              <w:numPr>
                <w:ilvl w:val="0"/>
                <w:numId w:val="5"/>
              </w:numPr>
            </w:pPr>
          </w:p>
        </w:tc>
        <w:tc>
          <w:tcPr>
            <w:tcW w:w="5760" w:type="dxa"/>
          </w:tcPr>
          <w:p w14:paraId="0E0F87DE" w14:textId="629F333D" w:rsidR="006311E7" w:rsidRPr="006311E7" w:rsidRDefault="006311E7" w:rsidP="001133F7">
            <w:r w:rsidRPr="006311E7">
              <w:t>The web page has a descriptive and informative page title.</w:t>
            </w:r>
          </w:p>
        </w:tc>
        <w:tc>
          <w:tcPr>
            <w:tcW w:w="1728" w:type="dxa"/>
          </w:tcPr>
          <w:p w14:paraId="643AE834" w14:textId="77777777" w:rsidR="006311E7" w:rsidRPr="006311E7" w:rsidRDefault="006311E7" w:rsidP="001133F7"/>
        </w:tc>
      </w:tr>
      <w:tr w:rsidR="006311E7" w:rsidRPr="006311E7" w14:paraId="197535F1" w14:textId="42EB0D79" w:rsidTr="005055AC">
        <w:tc>
          <w:tcPr>
            <w:tcW w:w="2347" w:type="dxa"/>
          </w:tcPr>
          <w:p w14:paraId="60DFEF48" w14:textId="77777777" w:rsidR="006311E7" w:rsidRPr="006311E7" w:rsidRDefault="006311E7" w:rsidP="005055AC">
            <w:pPr>
              <w:pStyle w:val="ListParagraph"/>
              <w:numPr>
                <w:ilvl w:val="0"/>
                <w:numId w:val="5"/>
              </w:numPr>
            </w:pPr>
          </w:p>
        </w:tc>
        <w:tc>
          <w:tcPr>
            <w:tcW w:w="5760" w:type="dxa"/>
          </w:tcPr>
          <w:p w14:paraId="07C130AE" w14:textId="3FCAC477" w:rsidR="006311E7" w:rsidRPr="006311E7" w:rsidRDefault="006311E7" w:rsidP="001133F7">
            <w:r w:rsidRPr="006311E7">
              <w:t>The navigation order of links, form elements, etc. is logical and intuitive.</w:t>
            </w:r>
          </w:p>
        </w:tc>
        <w:tc>
          <w:tcPr>
            <w:tcW w:w="1728" w:type="dxa"/>
          </w:tcPr>
          <w:p w14:paraId="4E70BB17" w14:textId="77777777" w:rsidR="006311E7" w:rsidRPr="006311E7" w:rsidRDefault="006311E7" w:rsidP="001133F7"/>
        </w:tc>
      </w:tr>
      <w:tr w:rsidR="006311E7" w:rsidRPr="006311E7" w14:paraId="4ACC4A28" w14:textId="55C63CEB" w:rsidTr="005055AC">
        <w:tc>
          <w:tcPr>
            <w:tcW w:w="2347" w:type="dxa"/>
          </w:tcPr>
          <w:p w14:paraId="2B858C30" w14:textId="77777777" w:rsidR="006311E7" w:rsidRPr="006311E7" w:rsidRDefault="006311E7" w:rsidP="005055AC">
            <w:pPr>
              <w:pStyle w:val="ListParagraph"/>
              <w:numPr>
                <w:ilvl w:val="0"/>
                <w:numId w:val="5"/>
              </w:numPr>
            </w:pPr>
          </w:p>
        </w:tc>
        <w:tc>
          <w:tcPr>
            <w:tcW w:w="5760" w:type="dxa"/>
          </w:tcPr>
          <w:p w14:paraId="40A310E7" w14:textId="09EB8622" w:rsidR="006311E7" w:rsidRPr="006311E7" w:rsidRDefault="006311E7" w:rsidP="001133F7">
            <w:r w:rsidRPr="006311E7">
              <w:t>The purpose of each link (or form image button or image map hotspot) can be determined from the link text alone, or from the link text and its context (e.g., surrounding text, list item, previous heading, or table headers).</w:t>
            </w:r>
          </w:p>
        </w:tc>
        <w:tc>
          <w:tcPr>
            <w:tcW w:w="1728" w:type="dxa"/>
          </w:tcPr>
          <w:p w14:paraId="311BDBDD" w14:textId="77777777" w:rsidR="006311E7" w:rsidRPr="006311E7" w:rsidRDefault="006311E7" w:rsidP="001133F7"/>
        </w:tc>
      </w:tr>
      <w:tr w:rsidR="006311E7" w:rsidRPr="006311E7" w14:paraId="7DBE5AB1" w14:textId="14CE749F" w:rsidTr="005055AC">
        <w:tc>
          <w:tcPr>
            <w:tcW w:w="2347" w:type="dxa"/>
          </w:tcPr>
          <w:p w14:paraId="1F220F8B" w14:textId="77777777" w:rsidR="006311E7" w:rsidRPr="006311E7" w:rsidRDefault="006311E7" w:rsidP="005055AC">
            <w:pPr>
              <w:pStyle w:val="ListParagraph"/>
              <w:numPr>
                <w:ilvl w:val="0"/>
                <w:numId w:val="5"/>
              </w:numPr>
            </w:pPr>
          </w:p>
        </w:tc>
        <w:tc>
          <w:tcPr>
            <w:tcW w:w="5760" w:type="dxa"/>
          </w:tcPr>
          <w:p w14:paraId="1A45AB03" w14:textId="3D5FCC01" w:rsidR="006311E7" w:rsidRPr="006311E7" w:rsidRDefault="006311E7" w:rsidP="001133F7">
            <w:r w:rsidRPr="006311E7">
              <w:t>Links (or form image buttons) with the same text that go to different locations are readily distinguishable.</w:t>
            </w:r>
          </w:p>
        </w:tc>
        <w:tc>
          <w:tcPr>
            <w:tcW w:w="1728" w:type="dxa"/>
          </w:tcPr>
          <w:p w14:paraId="4F5CA83D" w14:textId="77777777" w:rsidR="006311E7" w:rsidRPr="006311E7" w:rsidRDefault="006311E7" w:rsidP="001133F7"/>
        </w:tc>
      </w:tr>
      <w:tr w:rsidR="006311E7" w:rsidRPr="006311E7" w14:paraId="3F54DDE4" w14:textId="30AF1A02" w:rsidTr="005055AC">
        <w:tc>
          <w:tcPr>
            <w:tcW w:w="2347" w:type="dxa"/>
          </w:tcPr>
          <w:p w14:paraId="38BF2E2E" w14:textId="77777777" w:rsidR="006311E7" w:rsidRPr="006311E7" w:rsidRDefault="006311E7" w:rsidP="005055AC">
            <w:pPr>
              <w:pStyle w:val="ListParagraph"/>
              <w:numPr>
                <w:ilvl w:val="0"/>
                <w:numId w:val="5"/>
              </w:numPr>
            </w:pPr>
          </w:p>
        </w:tc>
        <w:tc>
          <w:tcPr>
            <w:tcW w:w="5760" w:type="dxa"/>
          </w:tcPr>
          <w:p w14:paraId="0AAA38E2" w14:textId="78BAFE6A" w:rsidR="006311E7" w:rsidRPr="006311E7" w:rsidRDefault="006311E7" w:rsidP="001133F7">
            <w:r w:rsidRPr="006311E7">
              <w:t>If multipoint or path-based gestures (such as pinching, swiping, or dragging across the screen) are not essential to the functionality, then the functionality can also be performed with a single point activation (such as activating a button).</w:t>
            </w:r>
          </w:p>
        </w:tc>
        <w:tc>
          <w:tcPr>
            <w:tcW w:w="1728" w:type="dxa"/>
          </w:tcPr>
          <w:p w14:paraId="48857D24" w14:textId="77777777" w:rsidR="006311E7" w:rsidRPr="006311E7" w:rsidRDefault="006311E7" w:rsidP="001133F7"/>
        </w:tc>
      </w:tr>
      <w:tr w:rsidR="006311E7" w:rsidRPr="006311E7" w14:paraId="3675AF22" w14:textId="441EB3AE" w:rsidTr="005055AC">
        <w:tc>
          <w:tcPr>
            <w:tcW w:w="2347" w:type="dxa"/>
          </w:tcPr>
          <w:p w14:paraId="64D813CA" w14:textId="77777777" w:rsidR="006311E7" w:rsidRPr="006311E7" w:rsidRDefault="006311E7" w:rsidP="005055AC">
            <w:pPr>
              <w:pStyle w:val="ListParagraph"/>
              <w:numPr>
                <w:ilvl w:val="0"/>
                <w:numId w:val="5"/>
              </w:numPr>
            </w:pPr>
          </w:p>
        </w:tc>
        <w:tc>
          <w:tcPr>
            <w:tcW w:w="5760" w:type="dxa"/>
          </w:tcPr>
          <w:p w14:paraId="35D1389D" w14:textId="195B765A" w:rsidR="006311E7" w:rsidRPr="006311E7" w:rsidRDefault="006311E7" w:rsidP="001133F7">
            <w:r w:rsidRPr="006311E7">
              <w:t xml:space="preserve">To help avoid inadvertent activation of controls, avoid non-essential down-event (e.g., </w:t>
            </w:r>
            <w:proofErr w:type="spellStart"/>
            <w:r w:rsidRPr="006311E7">
              <w:t>onmousedown</w:t>
            </w:r>
            <w:proofErr w:type="spellEnd"/>
            <w:r w:rsidRPr="006311E7">
              <w:t xml:space="preserve">) activation when clicking, tapping, or long pressing the screen. Use </w:t>
            </w:r>
            <w:proofErr w:type="spellStart"/>
            <w:r w:rsidRPr="006311E7">
              <w:t>onclick</w:t>
            </w:r>
            <w:proofErr w:type="spellEnd"/>
            <w:r w:rsidRPr="006311E7">
              <w:t xml:space="preserve">, </w:t>
            </w:r>
            <w:proofErr w:type="spellStart"/>
            <w:r w:rsidRPr="006311E7">
              <w:t>onmouseup</w:t>
            </w:r>
            <w:proofErr w:type="spellEnd"/>
            <w:r w:rsidRPr="006311E7">
              <w:t xml:space="preserve">, or similar instead. If </w:t>
            </w:r>
            <w:proofErr w:type="spellStart"/>
            <w:r w:rsidRPr="006311E7">
              <w:t>onmouseup</w:t>
            </w:r>
            <w:proofErr w:type="spellEnd"/>
            <w:r w:rsidRPr="006311E7">
              <w:t xml:space="preserve"> (or similar) is used, you must provide a mechanism to abort or undo the action performed.</w:t>
            </w:r>
          </w:p>
        </w:tc>
        <w:tc>
          <w:tcPr>
            <w:tcW w:w="1728" w:type="dxa"/>
          </w:tcPr>
          <w:p w14:paraId="68DFFFBD" w14:textId="77777777" w:rsidR="006311E7" w:rsidRPr="006311E7" w:rsidRDefault="006311E7" w:rsidP="001133F7"/>
        </w:tc>
      </w:tr>
      <w:tr w:rsidR="006311E7" w:rsidRPr="006311E7" w14:paraId="511E4EF6" w14:textId="7462D437" w:rsidTr="005055AC">
        <w:tc>
          <w:tcPr>
            <w:tcW w:w="2347" w:type="dxa"/>
          </w:tcPr>
          <w:p w14:paraId="43632F38" w14:textId="77777777" w:rsidR="006311E7" w:rsidRPr="006311E7" w:rsidRDefault="006311E7" w:rsidP="005055AC">
            <w:pPr>
              <w:pStyle w:val="ListParagraph"/>
              <w:numPr>
                <w:ilvl w:val="0"/>
                <w:numId w:val="5"/>
              </w:numPr>
            </w:pPr>
          </w:p>
        </w:tc>
        <w:tc>
          <w:tcPr>
            <w:tcW w:w="5760" w:type="dxa"/>
          </w:tcPr>
          <w:p w14:paraId="5BCC8BDC" w14:textId="507C15F5" w:rsidR="006311E7" w:rsidRPr="006311E7" w:rsidRDefault="006311E7" w:rsidP="001133F7">
            <w:r w:rsidRPr="006311E7">
              <w:t>If an interface component (link, button, etc.) presents text (or images of text), the accessible name (label, alternative text, aria-label, etc.) for that component must include the visible text.</w:t>
            </w:r>
          </w:p>
        </w:tc>
        <w:tc>
          <w:tcPr>
            <w:tcW w:w="1728" w:type="dxa"/>
          </w:tcPr>
          <w:p w14:paraId="0E744B07" w14:textId="77777777" w:rsidR="006311E7" w:rsidRPr="006311E7" w:rsidRDefault="006311E7" w:rsidP="001133F7"/>
        </w:tc>
      </w:tr>
      <w:tr w:rsidR="006311E7" w:rsidRPr="006311E7" w14:paraId="2224FF9B" w14:textId="1E6F0790" w:rsidTr="005055AC">
        <w:tc>
          <w:tcPr>
            <w:tcW w:w="2347" w:type="dxa"/>
          </w:tcPr>
          <w:p w14:paraId="4F0AAD4B" w14:textId="77777777" w:rsidR="006311E7" w:rsidRPr="006311E7" w:rsidRDefault="006311E7" w:rsidP="005055AC">
            <w:pPr>
              <w:pStyle w:val="ListParagraph"/>
              <w:numPr>
                <w:ilvl w:val="0"/>
                <w:numId w:val="5"/>
              </w:numPr>
            </w:pPr>
          </w:p>
        </w:tc>
        <w:tc>
          <w:tcPr>
            <w:tcW w:w="5760" w:type="dxa"/>
          </w:tcPr>
          <w:p w14:paraId="12C81D9E" w14:textId="4F1761AB" w:rsidR="006311E7" w:rsidRPr="006311E7" w:rsidRDefault="006311E7" w:rsidP="001133F7">
            <w:r w:rsidRPr="006311E7">
              <w:t>Functionality that is triggered by moving the device (such as shaking or panning a mobile device) or by user movement (such as waving to a camera) can be disabled and equivalent functionality is provided via standard controls like buttons.</w:t>
            </w:r>
          </w:p>
        </w:tc>
        <w:tc>
          <w:tcPr>
            <w:tcW w:w="1728" w:type="dxa"/>
          </w:tcPr>
          <w:p w14:paraId="2481E5BF" w14:textId="77777777" w:rsidR="006311E7" w:rsidRPr="006311E7" w:rsidRDefault="006311E7" w:rsidP="001133F7"/>
        </w:tc>
      </w:tr>
      <w:tr w:rsidR="006311E7" w:rsidRPr="006311E7" w14:paraId="2F5E820B" w14:textId="2657A056" w:rsidTr="005055AC">
        <w:tc>
          <w:tcPr>
            <w:tcW w:w="2347" w:type="dxa"/>
          </w:tcPr>
          <w:p w14:paraId="0C607621" w14:textId="77777777" w:rsidR="006311E7" w:rsidRPr="006311E7" w:rsidRDefault="006311E7" w:rsidP="005055AC">
            <w:pPr>
              <w:pStyle w:val="ListParagraph"/>
              <w:numPr>
                <w:ilvl w:val="0"/>
                <w:numId w:val="5"/>
              </w:numPr>
            </w:pPr>
          </w:p>
        </w:tc>
        <w:tc>
          <w:tcPr>
            <w:tcW w:w="5760" w:type="dxa"/>
          </w:tcPr>
          <w:p w14:paraId="006EA28C" w14:textId="67A6FDB8" w:rsidR="006311E7" w:rsidRPr="006311E7" w:rsidRDefault="006311E7" w:rsidP="001133F7">
            <w:r w:rsidRPr="006311E7">
              <w:t>When a page element receives focus, it does not result in a substantial change to the page, the spawning of a pop-up window, an additional change of keyboard focus, or any other change that could confuse or disorient the user.</w:t>
            </w:r>
          </w:p>
        </w:tc>
        <w:tc>
          <w:tcPr>
            <w:tcW w:w="1728" w:type="dxa"/>
          </w:tcPr>
          <w:p w14:paraId="0AAED5D1" w14:textId="77777777" w:rsidR="006311E7" w:rsidRPr="006311E7" w:rsidRDefault="006311E7" w:rsidP="001133F7"/>
        </w:tc>
      </w:tr>
      <w:tr w:rsidR="006311E7" w:rsidRPr="006311E7" w14:paraId="08C46316" w14:textId="704D6CD8" w:rsidTr="005055AC">
        <w:tc>
          <w:tcPr>
            <w:tcW w:w="2347" w:type="dxa"/>
          </w:tcPr>
          <w:p w14:paraId="0A6420F0" w14:textId="77777777" w:rsidR="006311E7" w:rsidRPr="006311E7" w:rsidRDefault="006311E7" w:rsidP="005055AC">
            <w:pPr>
              <w:pStyle w:val="ListParagraph"/>
              <w:numPr>
                <w:ilvl w:val="0"/>
                <w:numId w:val="5"/>
              </w:numPr>
            </w:pPr>
          </w:p>
        </w:tc>
        <w:tc>
          <w:tcPr>
            <w:tcW w:w="5760" w:type="dxa"/>
          </w:tcPr>
          <w:p w14:paraId="57AFA7C7" w14:textId="6BA0943F" w:rsidR="006311E7" w:rsidRPr="006311E7" w:rsidRDefault="006311E7" w:rsidP="001133F7">
            <w:r w:rsidRPr="006311E7">
              <w:t>When a user inputs information or interacts with a control, it does not result in a substantial change to the page, the spawning of a pop-up window, an additional change of keyboard focus, or any other change that could confuse or disorient the user unless the user is informed of the change ahead of time.</w:t>
            </w:r>
          </w:p>
        </w:tc>
        <w:tc>
          <w:tcPr>
            <w:tcW w:w="1728" w:type="dxa"/>
          </w:tcPr>
          <w:p w14:paraId="655583F7" w14:textId="77777777" w:rsidR="006311E7" w:rsidRPr="006311E7" w:rsidRDefault="006311E7" w:rsidP="001133F7"/>
        </w:tc>
      </w:tr>
      <w:tr w:rsidR="006311E7" w:rsidRPr="006311E7" w14:paraId="0D8F7A12" w14:textId="1CB49158" w:rsidTr="005055AC">
        <w:tc>
          <w:tcPr>
            <w:tcW w:w="2347" w:type="dxa"/>
          </w:tcPr>
          <w:p w14:paraId="28E5B216" w14:textId="77777777" w:rsidR="006311E7" w:rsidRPr="006311E7" w:rsidRDefault="006311E7" w:rsidP="005055AC">
            <w:pPr>
              <w:pStyle w:val="ListParagraph"/>
              <w:numPr>
                <w:ilvl w:val="0"/>
                <w:numId w:val="5"/>
              </w:numPr>
            </w:pPr>
          </w:p>
        </w:tc>
        <w:tc>
          <w:tcPr>
            <w:tcW w:w="5760" w:type="dxa"/>
          </w:tcPr>
          <w:p w14:paraId="711A006E" w14:textId="3E5047F7" w:rsidR="006311E7" w:rsidRPr="006311E7" w:rsidRDefault="006311E7" w:rsidP="001133F7">
            <w:r w:rsidRPr="006311E7">
              <w:t>Required form elements or form elements that require a specific format, value, or length provide this information within the element's label.</w:t>
            </w:r>
          </w:p>
        </w:tc>
        <w:tc>
          <w:tcPr>
            <w:tcW w:w="1728" w:type="dxa"/>
          </w:tcPr>
          <w:p w14:paraId="5638A50C" w14:textId="77777777" w:rsidR="006311E7" w:rsidRPr="006311E7" w:rsidRDefault="006311E7" w:rsidP="001133F7"/>
        </w:tc>
      </w:tr>
      <w:tr w:rsidR="006311E7" w:rsidRPr="006311E7" w14:paraId="4FCD56C8" w14:textId="5620B385" w:rsidTr="005055AC">
        <w:tc>
          <w:tcPr>
            <w:tcW w:w="2347" w:type="dxa"/>
          </w:tcPr>
          <w:p w14:paraId="5376399F" w14:textId="77777777" w:rsidR="006311E7" w:rsidRPr="006311E7" w:rsidRDefault="006311E7" w:rsidP="005055AC">
            <w:pPr>
              <w:pStyle w:val="ListParagraph"/>
              <w:numPr>
                <w:ilvl w:val="0"/>
                <w:numId w:val="5"/>
              </w:numPr>
            </w:pPr>
          </w:p>
        </w:tc>
        <w:tc>
          <w:tcPr>
            <w:tcW w:w="5760" w:type="dxa"/>
          </w:tcPr>
          <w:p w14:paraId="544AACA0" w14:textId="0EEDCA4A" w:rsidR="006311E7" w:rsidRPr="006311E7" w:rsidRDefault="006311E7" w:rsidP="001133F7">
            <w:r w:rsidRPr="006311E7">
              <w:t>Form validation errors are efficient, intuitive, and accessible. The error is clearly identified, quick access to the problematic element is provided, and the user can easily fix the error and resubmit the form.</w:t>
            </w:r>
          </w:p>
        </w:tc>
        <w:tc>
          <w:tcPr>
            <w:tcW w:w="1728" w:type="dxa"/>
          </w:tcPr>
          <w:p w14:paraId="3F93E050" w14:textId="77777777" w:rsidR="006311E7" w:rsidRPr="006311E7" w:rsidRDefault="006311E7" w:rsidP="001133F7"/>
        </w:tc>
      </w:tr>
      <w:tr w:rsidR="006311E7" w:rsidRPr="006311E7" w14:paraId="416254DC" w14:textId="27114597" w:rsidTr="005055AC">
        <w:tc>
          <w:tcPr>
            <w:tcW w:w="2347" w:type="dxa"/>
          </w:tcPr>
          <w:p w14:paraId="3FB083C2" w14:textId="77777777" w:rsidR="006311E7" w:rsidRPr="006311E7" w:rsidRDefault="006311E7" w:rsidP="005055AC">
            <w:pPr>
              <w:pStyle w:val="ListParagraph"/>
              <w:numPr>
                <w:ilvl w:val="0"/>
                <w:numId w:val="5"/>
              </w:numPr>
            </w:pPr>
          </w:p>
        </w:tc>
        <w:tc>
          <w:tcPr>
            <w:tcW w:w="5760" w:type="dxa"/>
          </w:tcPr>
          <w:p w14:paraId="13871CA3" w14:textId="798D6033" w:rsidR="006311E7" w:rsidRPr="006311E7" w:rsidRDefault="006311E7" w:rsidP="001133F7">
            <w:r w:rsidRPr="006311E7">
              <w:t xml:space="preserve">Sufficient labels, cues, and instructions for required interactive elements are provided via instructions, examples, properly positioned form labels, and/or </w:t>
            </w:r>
            <w:proofErr w:type="spellStart"/>
            <w:r w:rsidRPr="006311E7">
              <w:t>fieldsets</w:t>
            </w:r>
            <w:proofErr w:type="spellEnd"/>
            <w:r w:rsidRPr="006311E7">
              <w:t>/legends.</w:t>
            </w:r>
          </w:p>
        </w:tc>
        <w:tc>
          <w:tcPr>
            <w:tcW w:w="1728" w:type="dxa"/>
          </w:tcPr>
          <w:p w14:paraId="5CA7743E" w14:textId="77777777" w:rsidR="006311E7" w:rsidRPr="006311E7" w:rsidRDefault="006311E7" w:rsidP="001133F7"/>
        </w:tc>
      </w:tr>
      <w:tr w:rsidR="006311E7" w:rsidRPr="006311E7" w14:paraId="5FAB86ED" w14:textId="1F2345D1" w:rsidTr="005055AC">
        <w:tc>
          <w:tcPr>
            <w:tcW w:w="2347" w:type="dxa"/>
          </w:tcPr>
          <w:p w14:paraId="3E6231DC" w14:textId="77777777" w:rsidR="006311E7" w:rsidRPr="006311E7" w:rsidRDefault="006311E7" w:rsidP="005055AC">
            <w:pPr>
              <w:pStyle w:val="ListParagraph"/>
              <w:numPr>
                <w:ilvl w:val="0"/>
                <w:numId w:val="5"/>
              </w:numPr>
            </w:pPr>
          </w:p>
        </w:tc>
        <w:tc>
          <w:tcPr>
            <w:tcW w:w="5760" w:type="dxa"/>
          </w:tcPr>
          <w:p w14:paraId="745E45E0" w14:textId="71BB6D6F" w:rsidR="006311E7" w:rsidRPr="006311E7" w:rsidRDefault="006311E7" w:rsidP="001133F7">
            <w:r w:rsidRPr="006311E7">
              <w:t>Markup is used in a way that facilitates accessibility. This includes following the HTML/XHTML specifications and using forms, form labels, frame titles, etc. appropriately.</w:t>
            </w:r>
          </w:p>
        </w:tc>
        <w:tc>
          <w:tcPr>
            <w:tcW w:w="1728" w:type="dxa"/>
          </w:tcPr>
          <w:p w14:paraId="273A2DDB" w14:textId="77777777" w:rsidR="006311E7" w:rsidRPr="006311E7" w:rsidRDefault="006311E7" w:rsidP="001133F7"/>
        </w:tc>
      </w:tr>
      <w:tr w:rsidR="006311E7" w:rsidRPr="006311E7" w14:paraId="67919529" w14:textId="7DFDF69B" w:rsidTr="005055AC">
        <w:tc>
          <w:tcPr>
            <w:tcW w:w="2347" w:type="dxa"/>
          </w:tcPr>
          <w:p w14:paraId="522B58B7" w14:textId="77777777" w:rsidR="006311E7" w:rsidRPr="006311E7" w:rsidRDefault="006311E7" w:rsidP="005055AC">
            <w:pPr>
              <w:pStyle w:val="ListParagraph"/>
              <w:numPr>
                <w:ilvl w:val="0"/>
                <w:numId w:val="5"/>
              </w:numPr>
            </w:pPr>
          </w:p>
        </w:tc>
        <w:tc>
          <w:tcPr>
            <w:tcW w:w="5760" w:type="dxa"/>
          </w:tcPr>
          <w:p w14:paraId="5264294F" w14:textId="581FAC8C" w:rsidR="006311E7" w:rsidRPr="006311E7" w:rsidRDefault="006311E7" w:rsidP="001133F7">
            <w:r w:rsidRPr="006311E7">
              <w:t>ARIA is used appropriately to enhance accessibility when HTML is not sufficient.</w:t>
            </w:r>
          </w:p>
        </w:tc>
        <w:tc>
          <w:tcPr>
            <w:tcW w:w="1728" w:type="dxa"/>
          </w:tcPr>
          <w:p w14:paraId="12EAA687" w14:textId="77777777" w:rsidR="006311E7" w:rsidRPr="006311E7" w:rsidRDefault="006311E7" w:rsidP="001133F7"/>
        </w:tc>
      </w:tr>
      <w:tr w:rsidR="006311E7" w:rsidRPr="006311E7" w14:paraId="3F1FC6C6" w14:textId="4F03333A" w:rsidTr="005055AC">
        <w:tc>
          <w:tcPr>
            <w:tcW w:w="1296" w:type="dxa"/>
          </w:tcPr>
          <w:p w14:paraId="206652B8" w14:textId="77777777" w:rsidR="006311E7" w:rsidRPr="006311E7" w:rsidRDefault="006311E7" w:rsidP="005055AC">
            <w:pPr>
              <w:pStyle w:val="ListParagraph"/>
              <w:numPr>
                <w:ilvl w:val="0"/>
                <w:numId w:val="5"/>
              </w:numPr>
            </w:pPr>
          </w:p>
        </w:tc>
        <w:tc>
          <w:tcPr>
            <w:tcW w:w="5760" w:type="dxa"/>
          </w:tcPr>
          <w:p w14:paraId="57144173" w14:textId="63F746DC" w:rsidR="006311E7" w:rsidRPr="006311E7" w:rsidRDefault="006311E7" w:rsidP="001133F7">
            <w:r w:rsidRPr="006311E7">
              <w:t>If an important status message is presented and focus is not set to that message, the message must be announced to screen reader users, typically via an ARIA alert or live region.</w:t>
            </w:r>
          </w:p>
        </w:tc>
        <w:tc>
          <w:tcPr>
            <w:tcW w:w="1728" w:type="dxa"/>
          </w:tcPr>
          <w:p w14:paraId="48D11C06" w14:textId="77777777" w:rsidR="006311E7" w:rsidRPr="006311E7" w:rsidRDefault="006311E7" w:rsidP="001133F7"/>
        </w:tc>
      </w:tr>
    </w:tbl>
    <w:p w14:paraId="2A1660F6" w14:textId="77777777" w:rsidR="00DE61BF" w:rsidRDefault="00DE61BF" w:rsidP="006311E7">
      <w:r>
        <w:t xml:space="preserve"> </w:t>
      </w:r>
    </w:p>
    <w:p w14:paraId="4B708AB8" w14:textId="77777777" w:rsidR="009E178C" w:rsidRDefault="009E178C" w:rsidP="006311E7"/>
    <w:sectPr w:rsidR="009E178C" w:rsidSect="00D17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AF0C4" w14:textId="77777777" w:rsidR="00522AA7" w:rsidRDefault="00522AA7" w:rsidP="006A3966">
      <w:pPr>
        <w:spacing w:after="0" w:line="240" w:lineRule="auto"/>
      </w:pPr>
      <w:r>
        <w:separator/>
      </w:r>
    </w:p>
  </w:endnote>
  <w:endnote w:type="continuationSeparator" w:id="0">
    <w:p w14:paraId="018166C2" w14:textId="77777777" w:rsidR="00522AA7" w:rsidRDefault="00522AA7" w:rsidP="006A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5160F" w14:textId="77777777" w:rsidR="00522AA7" w:rsidRDefault="00522AA7" w:rsidP="006A3966">
      <w:pPr>
        <w:spacing w:after="0" w:line="240" w:lineRule="auto"/>
      </w:pPr>
      <w:r>
        <w:separator/>
      </w:r>
    </w:p>
  </w:footnote>
  <w:footnote w:type="continuationSeparator" w:id="0">
    <w:p w14:paraId="334165DE" w14:textId="77777777" w:rsidR="00522AA7" w:rsidRDefault="00522AA7" w:rsidP="006A3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7CD"/>
    <w:multiLevelType w:val="hybridMultilevel"/>
    <w:tmpl w:val="DB46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8A7"/>
    <w:multiLevelType w:val="hybridMultilevel"/>
    <w:tmpl w:val="9A9C03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4723A2D"/>
    <w:multiLevelType w:val="hybridMultilevel"/>
    <w:tmpl w:val="27126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73CFE"/>
    <w:multiLevelType w:val="hybridMultilevel"/>
    <w:tmpl w:val="4A04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B10E6"/>
    <w:multiLevelType w:val="hybridMultilevel"/>
    <w:tmpl w:val="4A04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8C"/>
    <w:rsid w:val="001573F4"/>
    <w:rsid w:val="0022407E"/>
    <w:rsid w:val="002A0F41"/>
    <w:rsid w:val="002E3D3E"/>
    <w:rsid w:val="004622AB"/>
    <w:rsid w:val="00471AEF"/>
    <w:rsid w:val="00497431"/>
    <w:rsid w:val="004B392F"/>
    <w:rsid w:val="005055AC"/>
    <w:rsid w:val="00522AA7"/>
    <w:rsid w:val="00616EB8"/>
    <w:rsid w:val="00623BB3"/>
    <w:rsid w:val="006311E7"/>
    <w:rsid w:val="00652179"/>
    <w:rsid w:val="00661B36"/>
    <w:rsid w:val="00693AC4"/>
    <w:rsid w:val="006A3966"/>
    <w:rsid w:val="00711A74"/>
    <w:rsid w:val="00770E34"/>
    <w:rsid w:val="007A4A8E"/>
    <w:rsid w:val="009068D8"/>
    <w:rsid w:val="00933A0B"/>
    <w:rsid w:val="009E178C"/>
    <w:rsid w:val="00B107D9"/>
    <w:rsid w:val="00B226C4"/>
    <w:rsid w:val="00D17151"/>
    <w:rsid w:val="00DE61BF"/>
    <w:rsid w:val="00DF44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9852"/>
  <w15:chartTrackingRefBased/>
  <w15:docId w15:val="{7F17E041-E2C5-4604-9BFC-95A37CD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E34"/>
    <w:pPr>
      <w:ind w:left="720"/>
      <w:contextualSpacing/>
    </w:pPr>
  </w:style>
  <w:style w:type="table" w:styleId="TableGrid">
    <w:name w:val="Table Grid"/>
    <w:basedOn w:val="TableNormal"/>
    <w:uiPriority w:val="39"/>
    <w:rsid w:val="0063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3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966"/>
  </w:style>
  <w:style w:type="paragraph" w:styleId="Footer">
    <w:name w:val="footer"/>
    <w:basedOn w:val="Normal"/>
    <w:link w:val="FooterChar"/>
    <w:uiPriority w:val="99"/>
    <w:unhideWhenUsed/>
    <w:rsid w:val="006A3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Shabir</dc:creator>
  <cp:keywords/>
  <dc:description/>
  <cp:lastModifiedBy>Iqbal Bhatti</cp:lastModifiedBy>
  <cp:revision>2</cp:revision>
  <dcterms:created xsi:type="dcterms:W3CDTF">2020-10-22T09:23:00Z</dcterms:created>
  <dcterms:modified xsi:type="dcterms:W3CDTF">2020-10-22T09:23:00Z</dcterms:modified>
</cp:coreProperties>
</file>